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F75E" w14:textId="6500AC41" w:rsidR="00DE43CE" w:rsidRPr="003532D7" w:rsidRDefault="00DE43CE" w:rsidP="0032758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8C1E1E"/>
          <w:sz w:val="25"/>
          <w:szCs w:val="25"/>
        </w:rPr>
      </w:pPr>
      <w:r w:rsidRPr="0089656C">
        <w:rPr>
          <w:rFonts w:ascii="Verdana" w:hAnsi="Verdana"/>
          <w:b/>
          <w:bCs/>
          <w:i/>
          <w:color w:val="8C1E1E"/>
          <w:sz w:val="25"/>
          <w:szCs w:val="25"/>
        </w:rPr>
        <w:t>Guide</w:t>
      </w:r>
      <w:r>
        <w:rPr>
          <w:rFonts w:ascii="Verdana" w:hAnsi="Verdana"/>
          <w:b/>
          <w:bCs/>
          <w:color w:val="8C1E1E"/>
          <w:sz w:val="25"/>
          <w:szCs w:val="25"/>
        </w:rPr>
        <w:t xml:space="preserve"> Exceptions </w:t>
      </w:r>
      <w:r w:rsidR="00AB1A9F">
        <w:rPr>
          <w:rFonts w:ascii="Verdana" w:hAnsi="Verdana"/>
          <w:b/>
          <w:bCs/>
          <w:color w:val="8C1E1E"/>
          <w:sz w:val="25"/>
          <w:szCs w:val="25"/>
        </w:rPr>
        <w:t>L</w:t>
      </w:r>
      <w:r>
        <w:rPr>
          <w:rFonts w:ascii="Verdana" w:hAnsi="Verdana"/>
          <w:b/>
          <w:bCs/>
          <w:color w:val="8C1E1E"/>
          <w:sz w:val="25"/>
          <w:szCs w:val="25"/>
        </w:rPr>
        <w:t>ist</w:t>
      </w:r>
    </w:p>
    <w:p w14:paraId="48D79A47" w14:textId="40067506" w:rsidR="00DE43CE" w:rsidRPr="002454DF" w:rsidRDefault="00DE43CE" w:rsidP="000F415E">
      <w:pPr>
        <w:pStyle w:val="Heading2"/>
        <w:spacing w:before="100" w:beforeAutospacing="1" w:after="100" w:afterAutospacing="1"/>
        <w:ind w:left="-720" w:right="-360"/>
        <w:rPr>
          <w:rFonts w:ascii="Verdana" w:hAnsi="Verdana" w:cs="Times New Roman"/>
          <w:i w:val="0"/>
          <w:sz w:val="21"/>
          <w:szCs w:val="21"/>
        </w:rPr>
      </w:pPr>
      <w:r>
        <w:rPr>
          <w:rFonts w:ascii="Verdana" w:hAnsi="Verdana" w:cs="Times New Roman"/>
          <w:i w:val="0"/>
          <w:sz w:val="21"/>
          <w:szCs w:val="21"/>
        </w:rPr>
        <w:t xml:space="preserve">About the </w:t>
      </w:r>
      <w:r w:rsidR="00AB1A9F">
        <w:rPr>
          <w:rFonts w:ascii="Verdana" w:hAnsi="Verdana" w:cs="Times New Roman"/>
          <w:i w:val="0"/>
          <w:sz w:val="21"/>
          <w:szCs w:val="21"/>
        </w:rPr>
        <w:t>L</w:t>
      </w:r>
      <w:r>
        <w:rPr>
          <w:rFonts w:ascii="Verdana" w:hAnsi="Verdana" w:cs="Times New Roman"/>
          <w:i w:val="0"/>
          <w:sz w:val="21"/>
          <w:szCs w:val="21"/>
        </w:rPr>
        <w:t>ist</w:t>
      </w:r>
    </w:p>
    <w:p w14:paraId="12467A6D" w14:textId="22D3BB2D" w:rsidR="00DE43CE" w:rsidRDefault="00DE43CE" w:rsidP="000F415E">
      <w:pPr>
        <w:tabs>
          <w:tab w:val="left" w:pos="540"/>
        </w:tabs>
        <w:spacing w:before="0" w:after="0"/>
        <w:ind w:left="-720" w:right="-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The </w:t>
      </w:r>
      <w:r w:rsidRPr="0089656C">
        <w:rPr>
          <w:rFonts w:ascii="Verdana" w:hAnsi="Verdana"/>
          <w:i/>
          <w:sz w:val="19"/>
          <w:szCs w:val="19"/>
        </w:rPr>
        <w:t>Guide</w:t>
      </w:r>
      <w:r>
        <w:rPr>
          <w:rFonts w:ascii="Verdana" w:hAnsi="Verdana"/>
          <w:sz w:val="19"/>
          <w:szCs w:val="19"/>
        </w:rPr>
        <w:t xml:space="preserve"> Exceptions </w:t>
      </w:r>
      <w:r w:rsidR="00AB1A9F"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ist is provided to assist the </w:t>
      </w:r>
      <w:r w:rsidRPr="0089656C">
        <w:rPr>
          <w:rFonts w:ascii="Verdana" w:hAnsi="Verdana"/>
          <w:sz w:val="19"/>
          <w:szCs w:val="19"/>
        </w:rPr>
        <w:t xml:space="preserve">Institutional Animal Care and Use Committee </w:t>
      </w:r>
      <w:r>
        <w:rPr>
          <w:rFonts w:ascii="Verdana" w:hAnsi="Verdana"/>
          <w:sz w:val="19"/>
          <w:szCs w:val="19"/>
        </w:rPr>
        <w:t>(IACUC)</w:t>
      </w:r>
      <w:r w:rsidRPr="002454D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in</w:t>
      </w:r>
      <w:r w:rsidRPr="002454D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identifying IACUC-approved departures from the </w:t>
      </w:r>
      <w:r w:rsidRPr="002454DF">
        <w:rPr>
          <w:rFonts w:ascii="Verdana" w:hAnsi="Verdana"/>
          <w:i/>
          <w:sz w:val="19"/>
          <w:szCs w:val="19"/>
        </w:rPr>
        <w:t>Guide for the Care and Use of Laboratory Animals: Eighth</w:t>
      </w:r>
      <w:r>
        <w:rPr>
          <w:rFonts w:ascii="Verdana" w:hAnsi="Verdana"/>
          <w:i/>
          <w:sz w:val="19"/>
          <w:szCs w:val="19"/>
        </w:rPr>
        <w:t xml:space="preserve"> E</w:t>
      </w:r>
      <w:r w:rsidRPr="002454DF">
        <w:rPr>
          <w:rFonts w:ascii="Verdana" w:hAnsi="Verdana"/>
          <w:i/>
          <w:sz w:val="19"/>
          <w:szCs w:val="19"/>
        </w:rPr>
        <w:t>dition (</w:t>
      </w:r>
      <w:hyperlink r:id="rId7" w:history="1">
        <w:r w:rsidRPr="00BC69B3">
          <w:rPr>
            <w:rStyle w:val="Hyperlink"/>
            <w:rFonts w:ascii="Verdana" w:hAnsi="Verdana"/>
            <w:i/>
            <w:sz w:val="19"/>
            <w:szCs w:val="19"/>
          </w:rPr>
          <w:t>Guide</w:t>
        </w:r>
      </w:hyperlink>
      <w:r w:rsidRPr="002454DF">
        <w:rPr>
          <w:rFonts w:ascii="Verdana" w:hAnsi="Verdana"/>
          <w:i/>
          <w:sz w:val="19"/>
          <w:szCs w:val="19"/>
        </w:rPr>
        <w:t>)</w:t>
      </w:r>
      <w:r>
        <w:rPr>
          <w:rFonts w:ascii="Verdana" w:hAnsi="Verdana"/>
          <w:i/>
          <w:sz w:val="19"/>
          <w:szCs w:val="19"/>
        </w:rPr>
        <w:t xml:space="preserve">. </w:t>
      </w:r>
      <w:r w:rsidRPr="002454DF">
        <w:rPr>
          <w:rFonts w:ascii="Verdana" w:hAnsi="Verdana"/>
          <w:sz w:val="19"/>
          <w:szCs w:val="19"/>
        </w:rPr>
        <w:t>The P</w:t>
      </w:r>
      <w:r>
        <w:rPr>
          <w:rFonts w:ascii="Verdana" w:hAnsi="Verdana"/>
          <w:sz w:val="19"/>
          <w:szCs w:val="19"/>
        </w:rPr>
        <w:t>ublic Health Service (PHS)</w:t>
      </w:r>
      <w:r w:rsidRPr="002454DF">
        <w:rPr>
          <w:rFonts w:ascii="Verdana" w:hAnsi="Verdana"/>
          <w:sz w:val="19"/>
          <w:szCs w:val="19"/>
        </w:rPr>
        <w:t xml:space="preserve"> Policy</w:t>
      </w:r>
      <w:r w:rsidRPr="00BC69B3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on </w:t>
      </w:r>
      <w:r w:rsidRPr="002454DF">
        <w:rPr>
          <w:rFonts w:ascii="Verdana" w:hAnsi="Verdana"/>
          <w:sz w:val="19"/>
          <w:szCs w:val="19"/>
        </w:rPr>
        <w:t>Humane Care and Use of Labor</w:t>
      </w:r>
      <w:r>
        <w:rPr>
          <w:rFonts w:ascii="Verdana" w:hAnsi="Verdana"/>
          <w:sz w:val="19"/>
          <w:szCs w:val="19"/>
        </w:rPr>
        <w:t>atory Animals (</w:t>
      </w:r>
      <w:hyperlink r:id="rId8" w:history="1">
        <w:r w:rsidRPr="00BC69B3">
          <w:rPr>
            <w:rStyle w:val="Hyperlink"/>
            <w:rFonts w:ascii="Verdana" w:hAnsi="Verdana"/>
            <w:sz w:val="19"/>
            <w:szCs w:val="19"/>
          </w:rPr>
          <w:t>Policy</w:t>
        </w:r>
      </w:hyperlink>
      <w:r>
        <w:rPr>
          <w:rFonts w:ascii="Verdana" w:hAnsi="Verdana"/>
          <w:sz w:val="19"/>
          <w:szCs w:val="19"/>
        </w:rPr>
        <w:t>),</w:t>
      </w:r>
      <w:r w:rsidRPr="002454DF">
        <w:rPr>
          <w:rFonts w:ascii="Verdana" w:hAnsi="Verdana"/>
          <w:sz w:val="19"/>
          <w:szCs w:val="19"/>
        </w:rPr>
        <w:t xml:space="preserve"> </w:t>
      </w:r>
      <w:hyperlink r:id="rId9" w:anchor="FunctionsoftheInstitutionalAnimalCareandUseCommittee" w:history="1">
        <w:r w:rsidRPr="0089656C">
          <w:rPr>
            <w:rStyle w:val="Hyperlink"/>
            <w:rFonts w:ascii="Verdana" w:hAnsi="Verdana"/>
            <w:sz w:val="19"/>
            <w:szCs w:val="19"/>
          </w:rPr>
          <w:t>IV.B.3</w:t>
        </w:r>
      </w:hyperlink>
      <w:r w:rsidRPr="0089656C">
        <w:rPr>
          <w:rFonts w:ascii="Verdana" w:hAnsi="Verdana"/>
          <w:sz w:val="19"/>
          <w:szCs w:val="19"/>
        </w:rPr>
        <w:t>.</w:t>
      </w:r>
      <w:r w:rsidR="00AB1A9F">
        <w:rPr>
          <w:rFonts w:ascii="Verdana" w:hAnsi="Verdana"/>
          <w:sz w:val="19"/>
          <w:szCs w:val="19"/>
        </w:rPr>
        <w:t>,</w:t>
      </w:r>
      <w:r w:rsidRPr="0089656C">
        <w:rPr>
          <w:rFonts w:ascii="Verdana" w:hAnsi="Verdana"/>
          <w:sz w:val="19"/>
          <w:szCs w:val="19"/>
        </w:rPr>
        <w:t xml:space="preserve"> requires that</w:t>
      </w:r>
      <w:r>
        <w:rPr>
          <w:rFonts w:ascii="Verdana" w:hAnsi="Verdana"/>
          <w:sz w:val="19"/>
          <w:szCs w:val="19"/>
        </w:rPr>
        <w:t xml:space="preserve"> t</w:t>
      </w:r>
      <w:r w:rsidRPr="0089656C">
        <w:rPr>
          <w:rFonts w:ascii="Verdana" w:hAnsi="Verdana"/>
          <w:sz w:val="19"/>
          <w:szCs w:val="19"/>
        </w:rPr>
        <w:t xml:space="preserve">he IACUC prepare reports of their semiannual program reviews and animal facility inspections and submit the reports to the Institutional Official (IO). </w:t>
      </w:r>
      <w:r w:rsidR="0099109D" w:rsidRPr="0099109D">
        <w:rPr>
          <w:rFonts w:ascii="Verdana" w:hAnsi="Verdana"/>
          <w:sz w:val="19"/>
          <w:szCs w:val="19"/>
        </w:rPr>
        <w:t>Among other items, the reports must</w:t>
      </w:r>
      <w:r>
        <w:rPr>
          <w:rFonts w:ascii="Verdana" w:hAnsi="Verdana"/>
          <w:sz w:val="19"/>
          <w:szCs w:val="19"/>
        </w:rPr>
        <w:t>:</w:t>
      </w:r>
      <w:r w:rsidRPr="0089656C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br/>
      </w:r>
    </w:p>
    <w:p w14:paraId="34D358E7" w14:textId="16511C20" w:rsidR="00DE43CE" w:rsidRDefault="00DE43CE" w:rsidP="000F415E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ind w:left="180" w:right="-360" w:hanging="180"/>
        <w:rPr>
          <w:rFonts w:ascii="Verdana" w:hAnsi="Verdana"/>
          <w:sz w:val="19"/>
          <w:szCs w:val="19"/>
        </w:rPr>
      </w:pPr>
      <w:r w:rsidRPr="0089656C">
        <w:rPr>
          <w:rFonts w:ascii="Verdana" w:hAnsi="Verdana"/>
          <w:sz w:val="19"/>
          <w:szCs w:val="19"/>
        </w:rPr>
        <w:t>contain</w:t>
      </w:r>
      <w:r w:rsidRPr="00A33C69">
        <w:rPr>
          <w:rFonts w:ascii="Verdana" w:hAnsi="Verdana"/>
          <w:sz w:val="19"/>
          <w:szCs w:val="19"/>
        </w:rPr>
        <w:t xml:space="preserve"> </w:t>
      </w:r>
      <w:r w:rsidRPr="008123B9">
        <w:rPr>
          <w:rFonts w:ascii="Verdana" w:hAnsi="Verdana"/>
          <w:sz w:val="19"/>
          <w:szCs w:val="19"/>
        </w:rPr>
        <w:t xml:space="preserve">a description of the nature and extent of the institution's adherence to the </w:t>
      </w:r>
      <w:r w:rsidRPr="008123B9">
        <w:rPr>
          <w:rFonts w:ascii="Verdana" w:hAnsi="Verdana"/>
          <w:i/>
          <w:sz w:val="19"/>
          <w:szCs w:val="19"/>
        </w:rPr>
        <w:t>Guide</w:t>
      </w:r>
      <w:r w:rsidRPr="008123B9">
        <w:rPr>
          <w:rFonts w:ascii="Verdana" w:hAnsi="Verdana"/>
          <w:sz w:val="19"/>
          <w:szCs w:val="19"/>
        </w:rPr>
        <w:t xml:space="preserve"> and the PHS Policy</w:t>
      </w:r>
      <w:r w:rsidR="00AB1A9F">
        <w:rPr>
          <w:rFonts w:ascii="Verdana" w:hAnsi="Verdana"/>
          <w:sz w:val="19"/>
          <w:szCs w:val="19"/>
        </w:rPr>
        <w:t>,</w:t>
      </w:r>
    </w:p>
    <w:p w14:paraId="2B065D54" w14:textId="77777777" w:rsidR="00DE43CE" w:rsidRDefault="00DE43CE" w:rsidP="000F415E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ind w:left="180" w:right="-360" w:hanging="180"/>
        <w:rPr>
          <w:rFonts w:ascii="Verdana" w:hAnsi="Verdana"/>
          <w:sz w:val="19"/>
          <w:szCs w:val="19"/>
        </w:rPr>
      </w:pPr>
      <w:r w:rsidRPr="008123B9">
        <w:rPr>
          <w:rFonts w:ascii="Verdana" w:hAnsi="Verdana"/>
          <w:sz w:val="19"/>
          <w:szCs w:val="19"/>
        </w:rPr>
        <w:t xml:space="preserve">identify specifically any departures from the provisions of the </w:t>
      </w:r>
      <w:r w:rsidRPr="008123B9">
        <w:rPr>
          <w:rFonts w:ascii="Verdana" w:hAnsi="Verdana"/>
          <w:i/>
          <w:sz w:val="19"/>
          <w:szCs w:val="19"/>
        </w:rPr>
        <w:t>Guide</w:t>
      </w:r>
      <w:r w:rsidRPr="008123B9">
        <w:rPr>
          <w:rFonts w:ascii="Verdana" w:hAnsi="Verdana"/>
          <w:sz w:val="19"/>
          <w:szCs w:val="19"/>
        </w:rPr>
        <w:t xml:space="preserve"> and the PHS Policy, and </w:t>
      </w:r>
    </w:p>
    <w:p w14:paraId="2E3716F7" w14:textId="77777777" w:rsidR="00DE43CE" w:rsidRPr="008123B9" w:rsidRDefault="00DE43CE" w:rsidP="000F415E">
      <w:pPr>
        <w:pStyle w:val="ListParagraph"/>
        <w:tabs>
          <w:tab w:val="left" w:pos="540"/>
        </w:tabs>
        <w:spacing w:before="0" w:after="0"/>
        <w:ind w:left="180" w:right="-360"/>
        <w:rPr>
          <w:rFonts w:ascii="Verdana" w:hAnsi="Verdana"/>
          <w:sz w:val="19"/>
          <w:szCs w:val="19"/>
        </w:rPr>
      </w:pPr>
      <w:r w:rsidRPr="008123B9">
        <w:rPr>
          <w:rFonts w:ascii="Verdana" w:hAnsi="Verdana"/>
          <w:sz w:val="19"/>
          <w:szCs w:val="19"/>
        </w:rPr>
        <w:t>state the reasons for each departure.</w:t>
      </w:r>
    </w:p>
    <w:p w14:paraId="3E2DE882" w14:textId="6ADB6880" w:rsidR="00DE43CE" w:rsidRPr="002454DF" w:rsidRDefault="00DE43CE" w:rsidP="000F415E">
      <w:pPr>
        <w:tabs>
          <w:tab w:val="left" w:pos="540"/>
        </w:tabs>
        <w:spacing w:before="0" w:after="0"/>
        <w:ind w:left="-720" w:right="-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</w:r>
      <w:r w:rsidRPr="0089656C">
        <w:rPr>
          <w:rFonts w:ascii="Verdana" w:hAnsi="Verdana"/>
          <w:sz w:val="19"/>
          <w:szCs w:val="19"/>
        </w:rPr>
        <w:t xml:space="preserve">The provisions of the </w:t>
      </w:r>
      <w:r w:rsidRPr="00A0379B">
        <w:rPr>
          <w:rFonts w:ascii="Verdana" w:hAnsi="Verdana"/>
          <w:i/>
          <w:sz w:val="19"/>
          <w:szCs w:val="19"/>
        </w:rPr>
        <w:t>Guide</w:t>
      </w:r>
      <w:r w:rsidRPr="0089656C">
        <w:rPr>
          <w:rFonts w:ascii="Verdana" w:hAnsi="Verdana"/>
          <w:sz w:val="19"/>
          <w:szCs w:val="19"/>
        </w:rPr>
        <w:t xml:space="preserve"> are stated in terms of standards that </w:t>
      </w:r>
      <w:r w:rsidRPr="0089656C">
        <w:rPr>
          <w:rFonts w:ascii="Verdana" w:hAnsi="Verdana"/>
          <w:b/>
          <w:sz w:val="19"/>
          <w:szCs w:val="19"/>
        </w:rPr>
        <w:t>must</w:t>
      </w:r>
      <w:r w:rsidRPr="0089656C">
        <w:rPr>
          <w:rFonts w:ascii="Verdana" w:hAnsi="Verdana"/>
          <w:sz w:val="19"/>
          <w:szCs w:val="19"/>
        </w:rPr>
        <w:t xml:space="preserve"> be met, standards that </w:t>
      </w:r>
      <w:r w:rsidRPr="0089656C">
        <w:rPr>
          <w:rFonts w:ascii="Verdana" w:hAnsi="Verdana"/>
          <w:b/>
          <w:sz w:val="19"/>
          <w:szCs w:val="19"/>
        </w:rPr>
        <w:t>should</w:t>
      </w:r>
      <w:r w:rsidRPr="0089656C">
        <w:rPr>
          <w:rFonts w:ascii="Verdana" w:hAnsi="Verdana"/>
          <w:sz w:val="19"/>
          <w:szCs w:val="19"/>
        </w:rPr>
        <w:t xml:space="preserve"> be met, and standards that </w:t>
      </w:r>
      <w:r w:rsidRPr="0089656C">
        <w:rPr>
          <w:rFonts w:ascii="Verdana" w:hAnsi="Verdana"/>
          <w:b/>
          <w:sz w:val="19"/>
          <w:szCs w:val="19"/>
        </w:rPr>
        <w:t>may</w:t>
      </w:r>
      <w:r w:rsidRPr="0089656C">
        <w:rPr>
          <w:rFonts w:ascii="Verdana" w:hAnsi="Verdana"/>
          <w:sz w:val="19"/>
          <w:szCs w:val="19"/>
        </w:rPr>
        <w:t xml:space="preserve"> be met. In addition, the </w:t>
      </w:r>
      <w:r w:rsidRPr="00A0379B">
        <w:rPr>
          <w:rFonts w:ascii="Verdana" w:hAnsi="Verdana"/>
          <w:i/>
          <w:sz w:val="19"/>
          <w:szCs w:val="19"/>
        </w:rPr>
        <w:t>Guide</w:t>
      </w:r>
      <w:r w:rsidRPr="0089656C">
        <w:rPr>
          <w:rFonts w:ascii="Verdana" w:hAnsi="Verdana"/>
          <w:sz w:val="19"/>
          <w:szCs w:val="19"/>
        </w:rPr>
        <w:t xml:space="preserve"> establishes exceptions in specific situations. These exceptions are </w:t>
      </w:r>
      <w:r w:rsidRPr="0089656C">
        <w:rPr>
          <w:rFonts w:ascii="Verdana" w:hAnsi="Verdana"/>
          <w:b/>
          <w:sz w:val="19"/>
          <w:szCs w:val="19"/>
        </w:rPr>
        <w:t xml:space="preserve">not </w:t>
      </w:r>
      <w:r w:rsidRPr="0089656C">
        <w:rPr>
          <w:rFonts w:ascii="Verdana" w:hAnsi="Verdana"/>
          <w:sz w:val="19"/>
          <w:szCs w:val="19"/>
        </w:rPr>
        <w:t xml:space="preserve">departures from the </w:t>
      </w:r>
      <w:r w:rsidRPr="00A0379B">
        <w:rPr>
          <w:rFonts w:ascii="Verdana" w:hAnsi="Verdana"/>
          <w:i/>
          <w:sz w:val="19"/>
          <w:szCs w:val="19"/>
        </w:rPr>
        <w:t>Guide</w:t>
      </w:r>
      <w:r w:rsidRPr="0089656C">
        <w:rPr>
          <w:rFonts w:ascii="Verdana" w:hAnsi="Verdana"/>
          <w:sz w:val="19"/>
          <w:szCs w:val="19"/>
        </w:rPr>
        <w:t>.</w:t>
      </w:r>
    </w:p>
    <w:p w14:paraId="023DA550" w14:textId="4F522DF7" w:rsidR="00DE43CE" w:rsidRPr="002454DF" w:rsidRDefault="00DE43CE" w:rsidP="000F415E">
      <w:pPr>
        <w:pStyle w:val="Heading2"/>
        <w:spacing w:before="0" w:after="0"/>
        <w:ind w:left="-720" w:right="-360"/>
        <w:rPr>
          <w:rFonts w:ascii="Verdana" w:hAnsi="Verdana" w:cs="Times New Roman"/>
          <w:i w:val="0"/>
          <w:sz w:val="21"/>
          <w:szCs w:val="21"/>
        </w:rPr>
      </w:pPr>
      <w:r>
        <w:rPr>
          <w:rFonts w:ascii="Verdana" w:hAnsi="Verdana" w:cs="Times New Roman"/>
          <w:i w:val="0"/>
          <w:sz w:val="21"/>
          <w:szCs w:val="21"/>
        </w:rPr>
        <w:br/>
        <w:t xml:space="preserve">How to use the </w:t>
      </w:r>
      <w:r w:rsidR="00880AD7">
        <w:rPr>
          <w:rFonts w:ascii="Verdana" w:hAnsi="Verdana" w:cs="Times New Roman"/>
          <w:i w:val="0"/>
          <w:sz w:val="21"/>
          <w:szCs w:val="21"/>
        </w:rPr>
        <w:t>L</w:t>
      </w:r>
      <w:r>
        <w:rPr>
          <w:rFonts w:ascii="Verdana" w:hAnsi="Verdana" w:cs="Times New Roman"/>
          <w:i w:val="0"/>
          <w:sz w:val="21"/>
          <w:szCs w:val="21"/>
        </w:rPr>
        <w:t>ist</w:t>
      </w:r>
    </w:p>
    <w:p w14:paraId="4F9EF858" w14:textId="0F83C26F" w:rsidR="00B10164" w:rsidRDefault="00DE43CE" w:rsidP="000F415E">
      <w:pPr>
        <w:tabs>
          <w:tab w:val="left" w:pos="540"/>
        </w:tabs>
        <w:spacing w:before="0" w:after="0"/>
        <w:ind w:left="-720" w:right="-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  <w:t xml:space="preserve">This list is a tool </w:t>
      </w:r>
      <w:r w:rsidRPr="002454DF">
        <w:rPr>
          <w:rFonts w:ascii="Verdana" w:hAnsi="Verdana"/>
          <w:sz w:val="19"/>
          <w:szCs w:val="19"/>
        </w:rPr>
        <w:t xml:space="preserve">to assist </w:t>
      </w:r>
      <w:r>
        <w:rPr>
          <w:rFonts w:ascii="Verdana" w:hAnsi="Verdana"/>
          <w:sz w:val="19"/>
          <w:szCs w:val="19"/>
        </w:rPr>
        <w:t>the IACUC</w:t>
      </w:r>
      <w:r w:rsidRPr="002454DF">
        <w:rPr>
          <w:rFonts w:ascii="Verdana" w:hAnsi="Verdana"/>
          <w:sz w:val="19"/>
          <w:szCs w:val="19"/>
        </w:rPr>
        <w:t xml:space="preserve"> in </w:t>
      </w:r>
      <w:r w:rsidRPr="0089656C">
        <w:rPr>
          <w:rFonts w:ascii="Verdana" w:hAnsi="Verdana"/>
          <w:sz w:val="19"/>
          <w:szCs w:val="19"/>
        </w:rPr>
        <w:t xml:space="preserve">identifying </w:t>
      </w:r>
      <w:r>
        <w:rPr>
          <w:rFonts w:ascii="Verdana" w:hAnsi="Verdana"/>
          <w:sz w:val="19"/>
          <w:szCs w:val="19"/>
        </w:rPr>
        <w:t xml:space="preserve">exceptions </w:t>
      </w:r>
      <w:r w:rsidR="00670BE0">
        <w:rPr>
          <w:rFonts w:ascii="Verdana" w:hAnsi="Verdana"/>
          <w:sz w:val="19"/>
          <w:szCs w:val="19"/>
        </w:rPr>
        <w:t>from</w:t>
      </w:r>
      <w:r>
        <w:rPr>
          <w:rFonts w:ascii="Verdana" w:hAnsi="Verdana"/>
          <w:sz w:val="19"/>
          <w:szCs w:val="19"/>
        </w:rPr>
        <w:t xml:space="preserve"> the </w:t>
      </w:r>
      <w:r w:rsidRPr="0032758B">
        <w:rPr>
          <w:rFonts w:ascii="Verdana" w:hAnsi="Verdana"/>
          <w:i/>
          <w:iCs/>
          <w:sz w:val="19"/>
          <w:szCs w:val="19"/>
        </w:rPr>
        <w:t>Guide</w:t>
      </w:r>
      <w:r>
        <w:rPr>
          <w:rFonts w:ascii="Verdana" w:hAnsi="Verdana"/>
          <w:sz w:val="19"/>
          <w:szCs w:val="19"/>
        </w:rPr>
        <w:t>. IACUCs are not required to use this list but are encouraged to</w:t>
      </w:r>
      <w:r w:rsidRPr="002454DF">
        <w:rPr>
          <w:rFonts w:ascii="Verdana" w:hAnsi="Verdana"/>
          <w:sz w:val="19"/>
          <w:szCs w:val="19"/>
        </w:rPr>
        <w:t xml:space="preserve"> amend it as necessary to reflect institutional programs and needs, or to develop their own list. </w:t>
      </w:r>
    </w:p>
    <w:p w14:paraId="39477ABA" w14:textId="77777777" w:rsidR="00B10164" w:rsidRDefault="00B10164" w:rsidP="000F415E">
      <w:pPr>
        <w:tabs>
          <w:tab w:val="left" w:pos="540"/>
        </w:tabs>
        <w:spacing w:before="0" w:after="0"/>
        <w:ind w:left="-720" w:right="-360"/>
        <w:rPr>
          <w:rFonts w:ascii="Verdana" w:hAnsi="Verdana"/>
          <w:sz w:val="19"/>
          <w:szCs w:val="19"/>
        </w:rPr>
      </w:pPr>
    </w:p>
    <w:p w14:paraId="7C1AEC32" w14:textId="07EAB1F8" w:rsidR="00DE43CE" w:rsidRDefault="00DE43CE" w:rsidP="000F415E">
      <w:pPr>
        <w:tabs>
          <w:tab w:val="left" w:pos="540"/>
        </w:tabs>
        <w:spacing w:before="0" w:after="0"/>
        <w:ind w:left="-720" w:right="-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</w:t>
      </w:r>
      <w:r w:rsidRPr="002454DF">
        <w:rPr>
          <w:rFonts w:ascii="Verdana" w:hAnsi="Verdana"/>
          <w:sz w:val="19"/>
          <w:szCs w:val="19"/>
        </w:rPr>
        <w:t xml:space="preserve"> list does not replace the </w:t>
      </w:r>
      <w:r w:rsidRPr="002454DF">
        <w:rPr>
          <w:rFonts w:ascii="Verdana" w:hAnsi="Verdana"/>
          <w:i/>
          <w:sz w:val="19"/>
          <w:szCs w:val="19"/>
        </w:rPr>
        <w:t>Guide</w:t>
      </w:r>
      <w:r>
        <w:rPr>
          <w:rFonts w:ascii="Verdana" w:hAnsi="Verdana"/>
          <w:sz w:val="19"/>
          <w:szCs w:val="19"/>
        </w:rPr>
        <w:t xml:space="preserve"> but </w:t>
      </w:r>
      <w:r w:rsidRPr="002454DF">
        <w:rPr>
          <w:rFonts w:ascii="Verdana" w:hAnsi="Verdana"/>
          <w:sz w:val="19"/>
          <w:szCs w:val="19"/>
        </w:rPr>
        <w:t xml:space="preserve">should be utilized in conjunction with the </w:t>
      </w:r>
      <w:r w:rsidRPr="002454DF">
        <w:rPr>
          <w:rFonts w:ascii="Verdana" w:hAnsi="Verdana"/>
          <w:i/>
          <w:sz w:val="19"/>
          <w:szCs w:val="19"/>
        </w:rPr>
        <w:t>Guide</w:t>
      </w:r>
      <w:r>
        <w:rPr>
          <w:rFonts w:ascii="Verdana" w:hAnsi="Verdana"/>
          <w:i/>
          <w:sz w:val="19"/>
          <w:szCs w:val="19"/>
        </w:rPr>
        <w:t>.</w:t>
      </w:r>
      <w:r w:rsidRPr="002454D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Relevant references and </w:t>
      </w:r>
      <w:r w:rsidRPr="005915BD">
        <w:rPr>
          <w:rFonts w:ascii="Verdana" w:hAnsi="Verdana"/>
          <w:i/>
          <w:sz w:val="19"/>
          <w:szCs w:val="19"/>
        </w:rPr>
        <w:t>Guide</w:t>
      </w:r>
      <w:r>
        <w:rPr>
          <w:rFonts w:ascii="Verdana" w:hAnsi="Verdana"/>
          <w:sz w:val="19"/>
          <w:szCs w:val="19"/>
        </w:rPr>
        <w:t xml:space="preserve"> </w:t>
      </w:r>
      <w:r w:rsidR="00670BE0">
        <w:rPr>
          <w:rFonts w:ascii="Verdana" w:hAnsi="Verdana"/>
          <w:sz w:val="19"/>
          <w:szCs w:val="19"/>
        </w:rPr>
        <w:t xml:space="preserve">pages </w:t>
      </w:r>
      <w:r>
        <w:rPr>
          <w:rFonts w:ascii="Verdana" w:hAnsi="Verdana"/>
          <w:sz w:val="19"/>
          <w:szCs w:val="19"/>
        </w:rPr>
        <w:t xml:space="preserve">are noted. </w:t>
      </w:r>
    </w:p>
    <w:p w14:paraId="2FE4223E" w14:textId="5AD7EB5E" w:rsidR="00DE43CE" w:rsidRPr="005176A3" w:rsidRDefault="00DE43CE" w:rsidP="000F415E">
      <w:pPr>
        <w:pStyle w:val="Heading2"/>
        <w:spacing w:before="0" w:after="0"/>
        <w:ind w:left="-720" w:right="-360"/>
        <w:rPr>
          <w:rFonts w:ascii="Verdana" w:hAnsi="Verdana"/>
          <w:b w:val="0"/>
          <w:i w:val="0"/>
          <w:sz w:val="19"/>
          <w:szCs w:val="19"/>
        </w:rPr>
      </w:pPr>
      <w:r>
        <w:rPr>
          <w:rFonts w:ascii="Verdana" w:hAnsi="Verdana" w:cs="Times New Roman"/>
          <w:i w:val="0"/>
          <w:iCs w:val="0"/>
          <w:sz w:val="21"/>
          <w:szCs w:val="21"/>
        </w:rPr>
        <w:br/>
        <w:t xml:space="preserve">Questions or comments? </w:t>
      </w:r>
      <w:r w:rsidRPr="005176A3">
        <w:rPr>
          <w:rFonts w:ascii="Verdana" w:hAnsi="Verdana"/>
          <w:b w:val="0"/>
          <w:i w:val="0"/>
          <w:sz w:val="19"/>
          <w:szCs w:val="19"/>
        </w:rPr>
        <w:t xml:space="preserve">Suggestions or comments should be e-mailed to: </w:t>
      </w:r>
      <w:hyperlink r:id="rId10" w:history="1">
        <w:r w:rsidR="000F415E">
          <w:rPr>
            <w:rStyle w:val="Hyperlink"/>
            <w:rFonts w:ascii="Verdana" w:hAnsi="Verdana"/>
            <w:b w:val="0"/>
            <w:i w:val="0"/>
            <w:sz w:val="19"/>
            <w:szCs w:val="19"/>
          </w:rPr>
          <w:t>olaw@mail.nih.gov</w:t>
        </w:r>
      </w:hyperlink>
      <w:r w:rsidRPr="005176A3">
        <w:rPr>
          <w:rFonts w:ascii="Verdana" w:hAnsi="Verdana"/>
          <w:b w:val="0"/>
          <w:i w:val="0"/>
          <w:sz w:val="19"/>
          <w:szCs w:val="19"/>
        </w:rPr>
        <w:t>.</w:t>
      </w:r>
    </w:p>
    <w:p w14:paraId="5E026389" w14:textId="77777777" w:rsidR="00DE43CE" w:rsidRDefault="00DE43CE" w:rsidP="00DE43CE">
      <w:pPr>
        <w:jc w:val="both"/>
        <w:rPr>
          <w:rFonts w:ascii="Verdana" w:hAnsi="Verdana"/>
          <w:b/>
          <w:bCs/>
          <w:color w:val="8C1E1E"/>
          <w:szCs w:val="24"/>
        </w:rPr>
      </w:pPr>
    </w:p>
    <w:p w14:paraId="1CB175C2" w14:textId="77777777" w:rsidR="00DE43CE" w:rsidRDefault="00DE43CE" w:rsidP="00DE43CE">
      <w:pPr>
        <w:rPr>
          <w:rFonts w:ascii="Verdana" w:hAnsi="Verdana"/>
          <w:b/>
          <w:bCs/>
          <w:color w:val="8C1E1E"/>
          <w:szCs w:val="24"/>
        </w:rPr>
      </w:pPr>
      <w:r>
        <w:rPr>
          <w:rFonts w:ascii="Verdana" w:hAnsi="Verdana"/>
          <w:b/>
          <w:bCs/>
          <w:color w:val="8C1E1E"/>
          <w:szCs w:val="24"/>
        </w:rPr>
        <w:br w:type="page"/>
      </w:r>
    </w:p>
    <w:p w14:paraId="4EF41FA1" w14:textId="77777777" w:rsidR="00AB1A9F" w:rsidRPr="003532D7" w:rsidRDefault="00AB1A9F" w:rsidP="00AB1A9F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8C1E1E"/>
          <w:sz w:val="25"/>
          <w:szCs w:val="25"/>
        </w:rPr>
      </w:pPr>
      <w:r w:rsidRPr="0089656C">
        <w:rPr>
          <w:rFonts w:ascii="Verdana" w:hAnsi="Verdana"/>
          <w:b/>
          <w:bCs/>
          <w:i/>
          <w:color w:val="8C1E1E"/>
          <w:sz w:val="25"/>
          <w:szCs w:val="25"/>
        </w:rPr>
        <w:lastRenderedPageBreak/>
        <w:t>Guide</w:t>
      </w:r>
      <w:r>
        <w:rPr>
          <w:rFonts w:ascii="Verdana" w:hAnsi="Verdana"/>
          <w:b/>
          <w:bCs/>
          <w:color w:val="8C1E1E"/>
          <w:sz w:val="25"/>
          <w:szCs w:val="25"/>
        </w:rPr>
        <w:t xml:space="preserve"> Exceptions List</w:t>
      </w:r>
    </w:p>
    <w:tbl>
      <w:tblPr>
        <w:tblW w:w="10530" w:type="dxa"/>
        <w:tblInd w:w="-63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1260"/>
        <w:gridCol w:w="9270"/>
      </w:tblGrid>
      <w:tr w:rsidR="00DE43CE" w:rsidRPr="00DE43CE" w14:paraId="04093809" w14:textId="77777777" w:rsidTr="005B201A">
        <w:tc>
          <w:tcPr>
            <w:tcW w:w="1260" w:type="dxa"/>
          </w:tcPr>
          <w:p w14:paraId="4E67B586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20</w:t>
            </w:r>
          </w:p>
        </w:tc>
        <w:tc>
          <w:tcPr>
            <w:tcW w:w="9270" w:type="dxa"/>
          </w:tcPr>
          <w:p w14:paraId="7BABAC98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 xml:space="preserve">Outer garments worn in the animal rooms should not be worn outside the animal facility </w:t>
            </w:r>
            <w:r w:rsidRPr="00DE43CE">
              <w:rPr>
                <w:rFonts w:ascii="Verdana" w:hAnsi="Verdana"/>
                <w:b/>
                <w:sz w:val="18"/>
                <w:szCs w:val="18"/>
              </w:rPr>
              <w:t xml:space="preserve">unless </w:t>
            </w:r>
            <w:r w:rsidRPr="00DE43CE">
              <w:rPr>
                <w:rFonts w:ascii="Verdana" w:hAnsi="Verdana"/>
                <w:sz w:val="18"/>
                <w:szCs w:val="18"/>
              </w:rPr>
              <w:t>covered (NRC 1997).</w:t>
            </w:r>
          </w:p>
        </w:tc>
      </w:tr>
      <w:tr w:rsidR="00DE43CE" w:rsidRPr="00DE43CE" w14:paraId="4202B7EE" w14:textId="77777777" w:rsidTr="005B201A">
        <w:tc>
          <w:tcPr>
            <w:tcW w:w="1260" w:type="dxa"/>
          </w:tcPr>
          <w:p w14:paraId="70B76BA3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23-24</w:t>
            </w:r>
          </w:p>
        </w:tc>
        <w:tc>
          <w:tcPr>
            <w:tcW w:w="9270" w:type="dxa"/>
          </w:tcPr>
          <w:p w14:paraId="47A93929" w14:textId="1D47577D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 xml:space="preserve">Response to such reports should include communication of findings to the concerned employee(s), </w:t>
            </w: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such concerns are reported anonymously; corrective actions if deemed necessary; and a report to the IO of the issue, findings, and actions taken</w:t>
            </w:r>
            <w:r w:rsidR="00670BE0">
              <w:rPr>
                <w:rFonts w:ascii="Verdana" w:hAnsi="Verdana"/>
                <w:sz w:val="18"/>
                <w:szCs w:val="18"/>
              </w:rPr>
              <w:t xml:space="preserve"> should be documented</w:t>
            </w:r>
            <w:r w:rsidRPr="00DE43C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E43CE" w:rsidRPr="00DE43CE" w14:paraId="694B29B3" w14:textId="77777777" w:rsidTr="005B201A">
        <w:tc>
          <w:tcPr>
            <w:tcW w:w="1260" w:type="dxa"/>
          </w:tcPr>
          <w:p w14:paraId="7D56FDB9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29</w:t>
            </w:r>
          </w:p>
        </w:tc>
        <w:tc>
          <w:tcPr>
            <w:tcW w:w="9270" w:type="dxa"/>
          </w:tcPr>
          <w:p w14:paraId="0D50A15D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 xml:space="preserve">Prolonged restraint, including chairing of nonhuman primates, should be avoided </w:t>
            </w: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it is essential for achieving research objectives and is specifically approved by the IACUC (NRC 2003b).</w:t>
            </w:r>
          </w:p>
        </w:tc>
      </w:tr>
      <w:tr w:rsidR="00DE43CE" w:rsidRPr="00DE43CE" w14:paraId="70A1AE74" w14:textId="77777777" w:rsidTr="005B201A">
        <w:tc>
          <w:tcPr>
            <w:tcW w:w="1260" w:type="dxa"/>
          </w:tcPr>
          <w:p w14:paraId="038BABB8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50</w:t>
            </w:r>
          </w:p>
        </w:tc>
        <w:tc>
          <w:tcPr>
            <w:tcW w:w="9270" w:type="dxa"/>
          </w:tcPr>
          <w:p w14:paraId="204776B5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 xml:space="preserve">Radios, alarms, and other sound generators should not be used in animal rooms </w:t>
            </w: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they are part of an approved protocol or enrichment program.</w:t>
            </w:r>
          </w:p>
        </w:tc>
      </w:tr>
      <w:tr w:rsidR="00DE43CE" w:rsidRPr="00DE43CE" w14:paraId="3968121F" w14:textId="77777777" w:rsidTr="005B201A">
        <w:tc>
          <w:tcPr>
            <w:tcW w:w="1260" w:type="dxa"/>
          </w:tcPr>
          <w:p w14:paraId="05AE9AE5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51</w:t>
            </w:r>
          </w:p>
        </w:tc>
        <w:tc>
          <w:tcPr>
            <w:tcW w:w="9270" w:type="dxa"/>
          </w:tcPr>
          <w:p w14:paraId="1678F552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 xml:space="preserve">Social animals should be housed in stable pairs or groups of compatible individuals </w:t>
            </w: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they must be housed alone for experimental reasons or because of social incompatibility (see also section on Behavioral and Social Management).</w:t>
            </w:r>
          </w:p>
        </w:tc>
      </w:tr>
      <w:tr w:rsidR="00DE43CE" w:rsidRPr="00DE43CE" w14:paraId="5FE558A9" w14:textId="77777777" w:rsidTr="005B201A">
        <w:tc>
          <w:tcPr>
            <w:tcW w:w="1260" w:type="dxa"/>
          </w:tcPr>
          <w:p w14:paraId="688C061A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63</w:t>
            </w:r>
          </w:p>
        </w:tc>
        <w:tc>
          <w:tcPr>
            <w:tcW w:w="9270" w:type="dxa"/>
          </w:tcPr>
          <w:p w14:paraId="5ED3014A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eastAsia="Calibri" w:hAnsi="Verdana" w:cs="Optima"/>
                <w:sz w:val="18"/>
                <w:szCs w:val="18"/>
              </w:rPr>
              <w:t xml:space="preserve">Animals maintained in a laboratory environment are generally restricted in their activities compared to free-ranging animals. Forced activity for reasons </w:t>
            </w:r>
            <w:r w:rsidRPr="00DE43CE">
              <w:rPr>
                <w:rFonts w:ascii="Verdana" w:eastAsia="Calibri" w:hAnsi="Verdana" w:cs="Optima"/>
                <w:b/>
                <w:sz w:val="18"/>
                <w:szCs w:val="18"/>
              </w:rPr>
              <w:t xml:space="preserve">other than </w:t>
            </w:r>
            <w:r w:rsidRPr="00DE43CE">
              <w:rPr>
                <w:rFonts w:ascii="Verdana" w:eastAsia="Calibri" w:hAnsi="Verdana" w:cs="Optima"/>
                <w:sz w:val="18"/>
                <w:szCs w:val="18"/>
              </w:rPr>
              <w:t>attempts to meet therapeutic or approved protocol objectives should be avoided.</w:t>
            </w:r>
          </w:p>
        </w:tc>
      </w:tr>
      <w:tr w:rsidR="00FA2F00" w:rsidRPr="00DE43CE" w14:paraId="01D52B69" w14:textId="77777777" w:rsidTr="005B201A">
        <w:tc>
          <w:tcPr>
            <w:tcW w:w="1260" w:type="dxa"/>
            <w:shd w:val="clear" w:color="auto" w:fill="auto"/>
          </w:tcPr>
          <w:p w14:paraId="7BEA0726" w14:textId="42B52746" w:rsidR="00FA2F00" w:rsidRPr="00DE43CE" w:rsidRDefault="00FA2F00" w:rsidP="00FA2F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t>Page 64</w:t>
            </w:r>
          </w:p>
        </w:tc>
        <w:tc>
          <w:tcPr>
            <w:tcW w:w="9270" w:type="dxa"/>
            <w:shd w:val="clear" w:color="auto" w:fill="auto"/>
          </w:tcPr>
          <w:p w14:paraId="5C213AAF" w14:textId="3AB07E39" w:rsidR="00FA2F00" w:rsidRPr="00DE43CE" w:rsidRDefault="00FA2F00" w:rsidP="00FA2F00">
            <w:pPr>
              <w:rPr>
                <w:rFonts w:ascii="Verdana" w:hAnsi="Verdana"/>
                <w:sz w:val="18"/>
                <w:szCs w:val="18"/>
              </w:rPr>
            </w:pPr>
            <w:r w:rsidRPr="007307B1">
              <w:rPr>
                <w:rFonts w:ascii="Verdana" w:eastAsia="Calibri" w:hAnsi="Verdana" w:cs="Optima"/>
                <w:sz w:val="19"/>
                <w:szCs w:val="19"/>
              </w:rPr>
              <w:t xml:space="preserve">Single housing of social species should be the </w:t>
            </w:r>
            <w:r w:rsidRPr="007307B1">
              <w:rPr>
                <w:rFonts w:ascii="Verdana" w:eastAsia="Calibri" w:hAnsi="Verdana" w:cs="Optima"/>
                <w:b/>
                <w:bCs/>
                <w:sz w:val="19"/>
                <w:szCs w:val="19"/>
              </w:rPr>
              <w:t xml:space="preserve">exception </w:t>
            </w:r>
            <w:r w:rsidRPr="0032758B">
              <w:rPr>
                <w:rFonts w:ascii="Verdana" w:eastAsia="Calibri" w:hAnsi="Verdana" w:cs="Optima"/>
                <w:sz w:val="19"/>
                <w:szCs w:val="19"/>
              </w:rPr>
              <w:t>and</w:t>
            </w:r>
            <w:r w:rsidRPr="007307B1">
              <w:rPr>
                <w:rFonts w:ascii="Verdana" w:eastAsia="Calibri" w:hAnsi="Verdana" w:cs="Optima"/>
                <w:sz w:val="19"/>
                <w:szCs w:val="19"/>
              </w:rPr>
              <w:t xml:space="preserve"> justified based on experimental requirements or veterinary-related concerns about animal well-being</w:t>
            </w:r>
            <w:r w:rsidRPr="0032758B">
              <w:rPr>
                <w:rFonts w:ascii="Verdana" w:eastAsia="Calibri" w:hAnsi="Verdana" w:cs="Optima"/>
                <w:sz w:val="19"/>
                <w:szCs w:val="19"/>
              </w:rPr>
              <w:t>.</w:t>
            </w:r>
            <w:r w:rsidRPr="00F82ECD">
              <w:rPr>
                <w:rFonts w:ascii="Verdana" w:eastAsia="Calibri" w:hAnsi="Verdana" w:cs="Optima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43CE" w:rsidRPr="00DE43CE" w14:paraId="776105E4" w14:textId="77777777" w:rsidTr="005B201A">
        <w:tc>
          <w:tcPr>
            <w:tcW w:w="1260" w:type="dxa"/>
          </w:tcPr>
          <w:p w14:paraId="7C8730FE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65</w:t>
            </w:r>
          </w:p>
        </w:tc>
        <w:tc>
          <w:tcPr>
            <w:tcW w:w="9270" w:type="dxa"/>
          </w:tcPr>
          <w:p w14:paraId="696F8C2A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 xml:space="preserve">Animals should be fed palatable, uncontaminated diets that meet their nutritional and behavioral needs at least daily, or according to their particular requirements, </w:t>
            </w: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the protocol in which they are being used requires otherwise.</w:t>
            </w:r>
          </w:p>
        </w:tc>
      </w:tr>
      <w:tr w:rsidR="00DE43CE" w:rsidRPr="00DE43CE" w14:paraId="759F2C4F" w14:textId="77777777" w:rsidTr="005B201A">
        <w:tc>
          <w:tcPr>
            <w:tcW w:w="1260" w:type="dxa"/>
          </w:tcPr>
          <w:p w14:paraId="2A59EE82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116</w:t>
            </w:r>
          </w:p>
        </w:tc>
        <w:tc>
          <w:tcPr>
            <w:tcW w:w="9270" w:type="dxa"/>
          </w:tcPr>
          <w:p w14:paraId="571FAF91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an exception is specifically justified as an essential component of the research protocol and approved by the IACUC, aseptic surgery should be conducted in dedicated facilities or spaces.</w:t>
            </w:r>
          </w:p>
        </w:tc>
      </w:tr>
      <w:tr w:rsidR="00DE43CE" w:rsidRPr="00DE43CE" w14:paraId="0E0DEDFA" w14:textId="77777777" w:rsidTr="005B201A">
        <w:tc>
          <w:tcPr>
            <w:tcW w:w="1260" w:type="dxa"/>
          </w:tcPr>
          <w:p w14:paraId="7673BC58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120</w:t>
            </w:r>
          </w:p>
        </w:tc>
        <w:tc>
          <w:tcPr>
            <w:tcW w:w="9270" w:type="dxa"/>
          </w:tcPr>
          <w:p w14:paraId="510D80AB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 xml:space="preserve">The U.S. Government Principles for the Utilization and Care of Vertebrate Animals Used in Testing, Research, and Training (see Appendix B) state that in general, </w:t>
            </w: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the con</w:t>
            </w:r>
            <w:r w:rsidRPr="00DE43CE">
              <w:rPr>
                <w:rFonts w:ascii="Verdana" w:hAnsi="Verdana"/>
                <w:sz w:val="18"/>
                <w:szCs w:val="18"/>
              </w:rPr>
              <w:softHyphen/>
              <w:t>trary is known or established, it should be considered that procedures that cause pain in humans may also cause pain in other animals (IRAC 1985).</w:t>
            </w:r>
          </w:p>
        </w:tc>
      </w:tr>
      <w:tr w:rsidR="00DE43CE" w:rsidRPr="00DE43CE" w14:paraId="05CB2CF7" w14:textId="77777777" w:rsidTr="005B201A">
        <w:tc>
          <w:tcPr>
            <w:tcW w:w="1260" w:type="dxa"/>
          </w:tcPr>
          <w:p w14:paraId="476F38BB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sz w:val="18"/>
                <w:szCs w:val="18"/>
              </w:rPr>
              <w:t>Page 123</w:t>
            </w:r>
          </w:p>
        </w:tc>
        <w:tc>
          <w:tcPr>
            <w:tcW w:w="9270" w:type="dxa"/>
          </w:tcPr>
          <w:p w14:paraId="10E03E85" w14:textId="77777777" w:rsidR="00DE43CE" w:rsidRPr="00DE43CE" w:rsidRDefault="00DE43CE" w:rsidP="00C82F90">
            <w:pPr>
              <w:rPr>
                <w:rFonts w:ascii="Verdana" w:hAnsi="Verdana"/>
                <w:sz w:val="18"/>
                <w:szCs w:val="18"/>
              </w:rPr>
            </w:pPr>
            <w:r w:rsidRPr="00DE43CE">
              <w:rPr>
                <w:rFonts w:ascii="Verdana" w:hAnsi="Verdana"/>
                <w:b/>
                <w:sz w:val="18"/>
                <w:szCs w:val="18"/>
              </w:rPr>
              <w:t>Unless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a deviation is justified for scientific or medical reasons, methods should be consistent with the </w:t>
            </w:r>
            <w:r w:rsidRPr="00DE43CE">
              <w:rPr>
                <w:rFonts w:ascii="Verdana" w:hAnsi="Verdana"/>
                <w:i/>
                <w:iCs/>
                <w:sz w:val="18"/>
                <w:szCs w:val="18"/>
              </w:rPr>
              <w:t>AVMA Guidelines on Euthanasia</w:t>
            </w:r>
            <w:r w:rsidRPr="00DE43CE">
              <w:rPr>
                <w:rFonts w:ascii="Verdana" w:hAnsi="Verdana"/>
                <w:sz w:val="18"/>
                <w:szCs w:val="18"/>
              </w:rPr>
              <w:t xml:space="preserve"> (AVMA 2007 or later editions).</w:t>
            </w:r>
          </w:p>
        </w:tc>
      </w:tr>
      <w:tr w:rsidR="00FA2F00" w:rsidRPr="00DE43CE" w14:paraId="76EAD98F" w14:textId="77777777" w:rsidTr="005B201A">
        <w:tc>
          <w:tcPr>
            <w:tcW w:w="1260" w:type="dxa"/>
            <w:shd w:val="clear" w:color="auto" w:fill="auto"/>
          </w:tcPr>
          <w:p w14:paraId="2362E158" w14:textId="59DD0452" w:rsidR="00FA2F00" w:rsidRPr="00DE43CE" w:rsidRDefault="00FA2F00" w:rsidP="00FA2F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t>Page 137</w:t>
            </w:r>
          </w:p>
        </w:tc>
        <w:tc>
          <w:tcPr>
            <w:tcW w:w="9270" w:type="dxa"/>
            <w:shd w:val="clear" w:color="auto" w:fill="auto"/>
          </w:tcPr>
          <w:p w14:paraId="236BBAD2" w14:textId="0EFBA0FF" w:rsidR="00FA2F00" w:rsidRPr="00DE43CE" w:rsidRDefault="00FA2F00" w:rsidP="00FA2F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3015">
              <w:rPr>
                <w:rFonts w:ascii="Verdana" w:hAnsi="Verdana"/>
                <w:bCs/>
                <w:sz w:val="19"/>
                <w:szCs w:val="19"/>
              </w:rPr>
              <w:t xml:space="preserve">For safety, doors should open into animal rooms; </w:t>
            </w:r>
            <w:r w:rsidRPr="00972FA2">
              <w:rPr>
                <w:rFonts w:ascii="Verdana" w:hAnsi="Verdana"/>
                <w:b/>
                <w:sz w:val="19"/>
                <w:szCs w:val="19"/>
              </w:rPr>
              <w:t>if it is necessary that they open toward a corridor, there should be a recessed vestibule</w:t>
            </w:r>
            <w:r>
              <w:rPr>
                <w:rFonts w:ascii="Verdana" w:hAnsi="Verdana"/>
                <w:bCs/>
                <w:sz w:val="19"/>
                <w:szCs w:val="19"/>
              </w:rPr>
              <w:t>.</w:t>
            </w:r>
          </w:p>
        </w:tc>
      </w:tr>
      <w:tr w:rsidR="00FA2F00" w:rsidRPr="00DE43CE" w14:paraId="7BD20C33" w14:textId="77777777" w:rsidTr="005B201A">
        <w:tc>
          <w:tcPr>
            <w:tcW w:w="1260" w:type="dxa"/>
            <w:shd w:val="clear" w:color="auto" w:fill="auto"/>
          </w:tcPr>
          <w:p w14:paraId="4A011C3B" w14:textId="1FF4B2A1" w:rsidR="00FA2F00" w:rsidRPr="00DE43CE" w:rsidRDefault="00FA2F00" w:rsidP="00FA2F00">
            <w:pPr>
              <w:rPr>
                <w:rFonts w:ascii="Verdana" w:hAnsi="Verdana"/>
                <w:sz w:val="18"/>
                <w:szCs w:val="18"/>
              </w:rPr>
            </w:pPr>
            <w:r w:rsidRPr="00AA225D">
              <w:rPr>
                <w:rFonts w:ascii="Verdana" w:hAnsi="Verdana"/>
                <w:sz w:val="19"/>
                <w:szCs w:val="19"/>
              </w:rPr>
              <w:t>Page 139</w:t>
            </w:r>
          </w:p>
        </w:tc>
        <w:tc>
          <w:tcPr>
            <w:tcW w:w="9270" w:type="dxa"/>
            <w:shd w:val="clear" w:color="auto" w:fill="auto"/>
          </w:tcPr>
          <w:p w14:paraId="6C371862" w14:textId="77777777" w:rsidR="00FA2F00" w:rsidRDefault="00FA2F00" w:rsidP="00FA2F00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725BFE">
              <w:rPr>
                <w:rFonts w:ascii="Verdana" w:hAnsi="Verdana"/>
                <w:sz w:val="19"/>
                <w:szCs w:val="19"/>
              </w:rPr>
              <w:t xml:space="preserve">Relative humidity should generally be maintained within a range of 30-70% throughout the year. Although maintenance of humidification within a limited range over extended periods is extremely difficult, daily fluctuations (recognizing the effects of routine husbandry especially when caring for large animal species) in relative humidity should be minimized; </w:t>
            </w:r>
            <w:r w:rsidRPr="00725BFE">
              <w:rPr>
                <w:rFonts w:ascii="Verdana" w:hAnsi="Verdana"/>
                <w:b/>
                <w:bCs/>
                <w:sz w:val="19"/>
                <w:szCs w:val="19"/>
              </w:rPr>
              <w:t>if excursions outside the desired range are infrequent, minimal, and of short duration, they are unlikely to negatively affect animal well-being.</w:t>
            </w:r>
            <w:r w:rsidR="00D54FAD">
              <w:rPr>
                <w:rFonts w:ascii="Verdana" w:hAnsi="Verdana"/>
                <w:b/>
                <w:bCs/>
                <w:sz w:val="19"/>
                <w:szCs w:val="19"/>
              </w:rPr>
              <w:t>*</w:t>
            </w:r>
          </w:p>
          <w:p w14:paraId="27A4E42B" w14:textId="4F8EACE4" w:rsidR="00D54FAD" w:rsidRPr="00D54FAD" w:rsidRDefault="00D54FAD" w:rsidP="00FA2F00">
            <w:pPr>
              <w:rPr>
                <w:rFonts w:ascii="Verdana" w:hAnsi="Verdana"/>
                <w:sz w:val="18"/>
                <w:szCs w:val="18"/>
              </w:rPr>
            </w:pPr>
            <w:r w:rsidRPr="00D54FAD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If excursions are </w:t>
            </w:r>
            <w:r w:rsidRPr="00D54FAD">
              <w:rPr>
                <w:rFonts w:ascii="Verdana" w:hAnsi="Verdana"/>
                <w:sz w:val="18"/>
                <w:szCs w:val="18"/>
                <w:u w:val="single"/>
              </w:rPr>
              <w:t>not</w:t>
            </w:r>
            <w:r>
              <w:rPr>
                <w:rFonts w:ascii="Verdana" w:hAnsi="Verdana"/>
                <w:sz w:val="18"/>
                <w:szCs w:val="18"/>
              </w:rPr>
              <w:t xml:space="preserve"> infrequent, the institution should </w:t>
            </w:r>
            <w:r w:rsidR="009360C6">
              <w:rPr>
                <w:rFonts w:ascii="Verdana" w:hAnsi="Verdana"/>
                <w:sz w:val="18"/>
                <w:szCs w:val="18"/>
              </w:rPr>
              <w:t>utilize an</w:t>
            </w:r>
            <w:r w:rsidR="00694A12">
              <w:rPr>
                <w:rFonts w:ascii="Verdana" w:hAnsi="Verdana"/>
                <w:sz w:val="18"/>
                <w:szCs w:val="18"/>
              </w:rPr>
              <w:t xml:space="preserve"> outcome-based performance standard</w:t>
            </w:r>
            <w:r w:rsidR="00E213A8">
              <w:rPr>
                <w:rFonts w:ascii="Verdana" w:hAnsi="Verdana"/>
                <w:sz w:val="18"/>
                <w:szCs w:val="18"/>
              </w:rPr>
              <w:t xml:space="preserve"> (</w:t>
            </w:r>
            <w:hyperlink r:id="rId11" w:anchor="/guidance/faqs?anchor=question52960" w:history="1">
              <w:r w:rsidR="00E213A8" w:rsidRPr="002218F2">
                <w:rPr>
                  <w:rStyle w:val="Hyperlink"/>
                  <w:rFonts w:ascii="Verdana" w:hAnsi="Verdana"/>
                  <w:sz w:val="18"/>
                  <w:szCs w:val="18"/>
                </w:rPr>
                <w:t>FA</w:t>
              </w:r>
              <w:r w:rsidR="002218F2" w:rsidRPr="002218F2">
                <w:rPr>
                  <w:rStyle w:val="Hyperlink"/>
                  <w:rFonts w:ascii="Verdana" w:hAnsi="Verdana"/>
                  <w:sz w:val="18"/>
                  <w:szCs w:val="18"/>
                </w:rPr>
                <w:t>Q G.10</w:t>
              </w:r>
            </w:hyperlink>
            <w:r w:rsidR="002218F2">
              <w:rPr>
                <w:rFonts w:ascii="Verdana" w:hAnsi="Verdana"/>
                <w:sz w:val="18"/>
                <w:szCs w:val="18"/>
              </w:rPr>
              <w:t>.)</w:t>
            </w:r>
          </w:p>
        </w:tc>
      </w:tr>
      <w:tr w:rsidR="00FA2F00" w:rsidRPr="00DE43CE" w14:paraId="7AD4E27E" w14:textId="77777777" w:rsidTr="005B201A">
        <w:trPr>
          <w:trHeight w:val="746"/>
        </w:trPr>
        <w:tc>
          <w:tcPr>
            <w:tcW w:w="1260" w:type="dxa"/>
            <w:shd w:val="clear" w:color="auto" w:fill="auto"/>
          </w:tcPr>
          <w:p w14:paraId="108464AB" w14:textId="7B687EA8" w:rsidR="00FA2F00" w:rsidRPr="00DE43CE" w:rsidRDefault="00FA2F00" w:rsidP="00FA2F00">
            <w:pPr>
              <w:rPr>
                <w:rFonts w:ascii="Verdana" w:hAnsi="Verdana"/>
                <w:sz w:val="18"/>
                <w:szCs w:val="18"/>
              </w:rPr>
            </w:pPr>
            <w:r w:rsidRPr="00AA225D">
              <w:rPr>
                <w:rFonts w:ascii="Verdana" w:hAnsi="Verdana"/>
                <w:sz w:val="19"/>
                <w:szCs w:val="19"/>
              </w:rPr>
              <w:t xml:space="preserve">Page </w:t>
            </w:r>
            <w:r>
              <w:rPr>
                <w:rFonts w:ascii="Verdana" w:hAnsi="Verdana"/>
                <w:sz w:val="19"/>
                <w:szCs w:val="19"/>
              </w:rPr>
              <w:t>140</w:t>
            </w:r>
          </w:p>
        </w:tc>
        <w:tc>
          <w:tcPr>
            <w:tcW w:w="9270" w:type="dxa"/>
            <w:shd w:val="clear" w:color="auto" w:fill="auto"/>
          </w:tcPr>
          <w:p w14:paraId="4216AC18" w14:textId="72CFFB06" w:rsidR="00FA2F00" w:rsidRPr="00DE43CE" w:rsidRDefault="00FA2F00" w:rsidP="00FA2F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9"/>
                <w:szCs w:val="19"/>
              </w:rPr>
              <w:t>...s</w:t>
            </w:r>
            <w:r w:rsidRPr="002A15C4">
              <w:rPr>
                <w:rFonts w:ascii="Verdana" w:hAnsi="Verdana"/>
                <w:sz w:val="19"/>
                <w:szCs w:val="19"/>
              </w:rPr>
              <w:t xml:space="preserve">team coils should be avoided </w:t>
            </w:r>
            <w:r w:rsidRPr="00E15B5B">
              <w:rPr>
                <w:rFonts w:ascii="Verdana" w:hAnsi="Verdana"/>
                <w:b/>
                <w:bCs/>
                <w:sz w:val="19"/>
                <w:szCs w:val="19"/>
              </w:rPr>
              <w:t>or</w:t>
            </w:r>
            <w:r w:rsidRPr="002A15C4">
              <w:rPr>
                <w:rFonts w:ascii="Verdana" w:hAnsi="Verdana"/>
                <w:sz w:val="19"/>
                <w:szCs w:val="19"/>
              </w:rPr>
              <w:t xml:space="preserve"> equipped with a high-temperature cut-off system to prevent space overheating and animal loss with valve failure.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</w:tbl>
    <w:p w14:paraId="4A3741B7" w14:textId="72A30368" w:rsidR="00CD0DFA" w:rsidRPr="005B201A" w:rsidRDefault="00CD0DFA" w:rsidP="005B201A">
      <w:pPr>
        <w:tabs>
          <w:tab w:val="left" w:pos="1633"/>
        </w:tabs>
      </w:pPr>
    </w:p>
    <w:sectPr w:rsidR="00CD0DFA" w:rsidRPr="005B201A" w:rsidSect="00551AF6">
      <w:footerReference w:type="default" r:id="rId12"/>
      <w:pgSz w:w="12240" w:h="15840"/>
      <w:pgMar w:top="864" w:right="1440" w:bottom="864" w:left="1440" w:header="720" w:footer="720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1900" w14:textId="77777777" w:rsidR="003916B6" w:rsidRDefault="003916B6" w:rsidP="00DE43CE">
      <w:pPr>
        <w:spacing w:before="0" w:after="0"/>
      </w:pPr>
      <w:r>
        <w:separator/>
      </w:r>
    </w:p>
  </w:endnote>
  <w:endnote w:type="continuationSeparator" w:id="0">
    <w:p w14:paraId="2FA48317" w14:textId="77777777" w:rsidR="003916B6" w:rsidRDefault="003916B6" w:rsidP="00DE43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15E7" w14:textId="515DCD9A" w:rsidR="000F415E" w:rsidRPr="00D94765" w:rsidRDefault="000F415E" w:rsidP="000F415E">
    <w:pPr>
      <w:pStyle w:val="Footer"/>
      <w:tabs>
        <w:tab w:val="clear" w:pos="4680"/>
        <w:tab w:val="clear" w:pos="9360"/>
        <w:tab w:val="center" w:pos="5256"/>
        <w:tab w:val="right" w:pos="10512"/>
      </w:tabs>
      <w:ind w:left="-720"/>
      <w:jc w:val="center"/>
      <w:rPr>
        <w:rFonts w:ascii="Verdana" w:hAnsi="Verdana"/>
        <w:color w:val="000000"/>
        <w:sz w:val="16"/>
        <w:szCs w:val="16"/>
      </w:rPr>
    </w:pPr>
    <w:r w:rsidRPr="000F415E">
      <w:rPr>
        <w:rFonts w:ascii="Verdana" w:hAnsi="Verdana"/>
        <w:i/>
        <w:color w:val="000000"/>
        <w:sz w:val="16"/>
        <w:szCs w:val="16"/>
      </w:rPr>
      <w:t>Guide</w:t>
    </w:r>
    <w:r w:rsidRPr="000F415E">
      <w:rPr>
        <w:rFonts w:ascii="Verdana" w:hAnsi="Verdana"/>
        <w:color w:val="000000"/>
        <w:sz w:val="16"/>
        <w:szCs w:val="16"/>
      </w:rPr>
      <w:t xml:space="preserve"> Exception List</w:t>
    </w:r>
    <w:r>
      <w:rPr>
        <w:rFonts w:ascii="Verdana" w:hAnsi="Verdana"/>
        <w:color w:val="000000"/>
        <w:sz w:val="16"/>
        <w:szCs w:val="16"/>
      </w:rPr>
      <w:tab/>
      <w:t>June 2021</w:t>
    </w:r>
    <w:r w:rsidRPr="00D94765">
      <w:rPr>
        <w:rFonts w:ascii="Verdana" w:hAnsi="Verdana"/>
        <w:color w:val="000000"/>
        <w:sz w:val="16"/>
        <w:szCs w:val="16"/>
      </w:rPr>
      <w:tab/>
    </w:r>
    <w:r w:rsidRPr="00D94765">
      <w:rPr>
        <w:rFonts w:ascii="Verdana" w:hAnsi="Verdana"/>
        <w:color w:val="000000"/>
        <w:sz w:val="16"/>
        <w:szCs w:val="16"/>
      </w:rPr>
      <w:fldChar w:fldCharType="begin"/>
    </w:r>
    <w:r w:rsidRPr="00D94765">
      <w:rPr>
        <w:rFonts w:ascii="Verdana" w:hAnsi="Verdana"/>
        <w:color w:val="000000"/>
        <w:sz w:val="16"/>
        <w:szCs w:val="16"/>
      </w:rPr>
      <w:instrText xml:space="preserve"> PAGE   \* MERGEFORMAT </w:instrText>
    </w:r>
    <w:r w:rsidRPr="00D94765">
      <w:rPr>
        <w:rFonts w:ascii="Verdana" w:hAnsi="Verdana"/>
        <w:color w:val="000000"/>
        <w:sz w:val="16"/>
        <w:szCs w:val="16"/>
      </w:rPr>
      <w:fldChar w:fldCharType="separate"/>
    </w:r>
    <w:r>
      <w:rPr>
        <w:rFonts w:ascii="Verdana" w:hAnsi="Verdana"/>
        <w:color w:val="000000"/>
        <w:sz w:val="16"/>
        <w:szCs w:val="16"/>
      </w:rPr>
      <w:t>2</w:t>
    </w:r>
    <w:r w:rsidRPr="00D94765">
      <w:rPr>
        <w:rFonts w:ascii="Verdana" w:hAnsi="Verdana"/>
        <w:color w:val="000000"/>
        <w:sz w:val="16"/>
        <w:szCs w:val="16"/>
      </w:rPr>
      <w:fldChar w:fldCharType="end"/>
    </w:r>
  </w:p>
  <w:p w14:paraId="56F47225" w14:textId="77777777" w:rsidR="000F415E" w:rsidRPr="00DE43CE" w:rsidRDefault="000F415E" w:rsidP="00DE43CE">
    <w:pPr>
      <w:pStyle w:val="Footer"/>
      <w:tabs>
        <w:tab w:val="clear" w:pos="4680"/>
        <w:tab w:val="center" w:pos="5400"/>
      </w:tabs>
      <w:rPr>
        <w:rFonts w:ascii="Verdana" w:hAnsi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78AA" w14:textId="77777777" w:rsidR="003916B6" w:rsidRDefault="003916B6" w:rsidP="00DE43CE">
      <w:pPr>
        <w:spacing w:before="0" w:after="0"/>
      </w:pPr>
      <w:r>
        <w:separator/>
      </w:r>
    </w:p>
  </w:footnote>
  <w:footnote w:type="continuationSeparator" w:id="0">
    <w:p w14:paraId="7FAAB9D6" w14:textId="77777777" w:rsidR="003916B6" w:rsidRDefault="003916B6" w:rsidP="00DE43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15D"/>
    <w:multiLevelType w:val="hybridMultilevel"/>
    <w:tmpl w:val="C8EC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116"/>
    <w:multiLevelType w:val="hybridMultilevel"/>
    <w:tmpl w:val="B7A2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CE"/>
    <w:rsid w:val="00007375"/>
    <w:rsid w:val="000271C4"/>
    <w:rsid w:val="000370BB"/>
    <w:rsid w:val="00053663"/>
    <w:rsid w:val="000560BC"/>
    <w:rsid w:val="000B35DE"/>
    <w:rsid w:val="000C0A71"/>
    <w:rsid w:val="000F415E"/>
    <w:rsid w:val="00107CCE"/>
    <w:rsid w:val="001343DD"/>
    <w:rsid w:val="0014750B"/>
    <w:rsid w:val="001704CD"/>
    <w:rsid w:val="001903E3"/>
    <w:rsid w:val="00194827"/>
    <w:rsid w:val="001C53EC"/>
    <w:rsid w:val="001F3E2D"/>
    <w:rsid w:val="001F4A47"/>
    <w:rsid w:val="00205D28"/>
    <w:rsid w:val="002218F2"/>
    <w:rsid w:val="00223DF3"/>
    <w:rsid w:val="00227707"/>
    <w:rsid w:val="0024358D"/>
    <w:rsid w:val="00282F3E"/>
    <w:rsid w:val="003053A5"/>
    <w:rsid w:val="0032758B"/>
    <w:rsid w:val="00376060"/>
    <w:rsid w:val="003916B6"/>
    <w:rsid w:val="003A00AD"/>
    <w:rsid w:val="003D0F09"/>
    <w:rsid w:val="003D4A64"/>
    <w:rsid w:val="003F6218"/>
    <w:rsid w:val="00430615"/>
    <w:rsid w:val="004E5797"/>
    <w:rsid w:val="00503762"/>
    <w:rsid w:val="00524B97"/>
    <w:rsid w:val="00551AF6"/>
    <w:rsid w:val="00586388"/>
    <w:rsid w:val="005A5240"/>
    <w:rsid w:val="005A57C4"/>
    <w:rsid w:val="005B1F20"/>
    <w:rsid w:val="005B201A"/>
    <w:rsid w:val="005B32A3"/>
    <w:rsid w:val="005F62C7"/>
    <w:rsid w:val="0060111F"/>
    <w:rsid w:val="00662567"/>
    <w:rsid w:val="00670BE0"/>
    <w:rsid w:val="00694A12"/>
    <w:rsid w:val="006A7C5D"/>
    <w:rsid w:val="006E5179"/>
    <w:rsid w:val="007362DF"/>
    <w:rsid w:val="00743631"/>
    <w:rsid w:val="0074676C"/>
    <w:rsid w:val="007A05E6"/>
    <w:rsid w:val="007A3BBE"/>
    <w:rsid w:val="007B0457"/>
    <w:rsid w:val="007E6D14"/>
    <w:rsid w:val="00803445"/>
    <w:rsid w:val="0080508C"/>
    <w:rsid w:val="008213CA"/>
    <w:rsid w:val="00823270"/>
    <w:rsid w:val="00880AD7"/>
    <w:rsid w:val="008A7CE3"/>
    <w:rsid w:val="008C212D"/>
    <w:rsid w:val="008D6462"/>
    <w:rsid w:val="008F3C5C"/>
    <w:rsid w:val="00907185"/>
    <w:rsid w:val="00912D19"/>
    <w:rsid w:val="009360C6"/>
    <w:rsid w:val="00945916"/>
    <w:rsid w:val="00972FA2"/>
    <w:rsid w:val="0099109D"/>
    <w:rsid w:val="009A526A"/>
    <w:rsid w:val="009B1777"/>
    <w:rsid w:val="009F0ED2"/>
    <w:rsid w:val="009F62A8"/>
    <w:rsid w:val="00A42E1D"/>
    <w:rsid w:val="00A507C4"/>
    <w:rsid w:val="00AB1A9F"/>
    <w:rsid w:val="00AD1774"/>
    <w:rsid w:val="00B0077D"/>
    <w:rsid w:val="00B10164"/>
    <w:rsid w:val="00B523DE"/>
    <w:rsid w:val="00B93437"/>
    <w:rsid w:val="00BB6350"/>
    <w:rsid w:val="00BC0720"/>
    <w:rsid w:val="00C041F2"/>
    <w:rsid w:val="00C06E4F"/>
    <w:rsid w:val="00C0736A"/>
    <w:rsid w:val="00C104F8"/>
    <w:rsid w:val="00C24D3D"/>
    <w:rsid w:val="00CA6099"/>
    <w:rsid w:val="00CD0DFA"/>
    <w:rsid w:val="00D35672"/>
    <w:rsid w:val="00D54FAD"/>
    <w:rsid w:val="00D812F5"/>
    <w:rsid w:val="00DE43CE"/>
    <w:rsid w:val="00E213A8"/>
    <w:rsid w:val="00E54719"/>
    <w:rsid w:val="00E60C59"/>
    <w:rsid w:val="00E7312B"/>
    <w:rsid w:val="00E95C68"/>
    <w:rsid w:val="00ED023B"/>
    <w:rsid w:val="00EF02A2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D524B4"/>
  <w15:chartTrackingRefBased/>
  <w15:docId w15:val="{39E515BE-4677-4088-A79C-CD349E0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9F"/>
    <w:pPr>
      <w:spacing w:before="12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3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3C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E4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CE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3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43C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3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43CE"/>
    <w:rPr>
      <w:rFonts w:ascii="Times" w:eastAsia="Times New Roman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E2D"/>
    <w:rPr>
      <w:rFonts w:ascii="Times" w:eastAsia="Times New Roman" w:hAnsi="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1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w.nih.gov/policies-laws/phs-polic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aw.nih.gov/sites/default/files/Guide-for-the-Care-and-Use-of-Laboratory-Animal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aw.nih.gov/faq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aw@mail.nih.gov?subject=Guide%20Exceptions%20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aw.nih.gov/policies-laws/phs-polic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Cate (NIH/OD) [E]</dc:creator>
  <cp:keywords/>
  <dc:description/>
  <cp:lastModifiedBy>Pritchard, Cate (NIH/OD) [E]</cp:lastModifiedBy>
  <cp:revision>3</cp:revision>
  <dcterms:created xsi:type="dcterms:W3CDTF">2021-07-09T20:17:00Z</dcterms:created>
  <dcterms:modified xsi:type="dcterms:W3CDTF">2021-07-14T18:53:00Z</dcterms:modified>
</cp:coreProperties>
</file>